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F9" w:rsidRPr="005D5AF9" w:rsidRDefault="005D5AF9" w:rsidP="005D5AF9">
      <w:pPr>
        <w:shd w:val="clear" w:color="auto" w:fill="FFFFFF"/>
        <w:spacing w:after="0" w:line="526" w:lineRule="atLeast"/>
        <w:textAlignment w:val="top"/>
        <w:outlineLvl w:val="0"/>
        <w:rPr>
          <w:rFonts w:ascii="Arial" w:eastAsia="Times New Roman" w:hAnsi="Arial" w:cs="Arial"/>
          <w:b/>
          <w:bCs/>
          <w:color w:val="636363"/>
          <w:kern w:val="36"/>
          <w:sz w:val="38"/>
          <w:szCs w:val="38"/>
        </w:rPr>
      </w:pPr>
      <w:r w:rsidRPr="005D5AF9">
        <w:rPr>
          <w:rFonts w:ascii="Arial" w:eastAsia="Times New Roman" w:hAnsi="Arial" w:cs="Arial"/>
          <w:b/>
          <w:bCs/>
          <w:color w:val="636363"/>
          <w:kern w:val="36"/>
          <w:sz w:val="38"/>
          <w:szCs w:val="38"/>
        </w:rPr>
        <w:t>Показатели доступности и качества медицинской помощи</w:t>
      </w:r>
    </w:p>
    <w:p w:rsidR="005D5AF9" w:rsidRPr="005D5AF9" w:rsidRDefault="005D5AF9" w:rsidP="005D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AF9">
        <w:rPr>
          <w:rFonts w:ascii="Arial" w:eastAsia="Times New Roman" w:hAnsi="Arial" w:cs="Arial"/>
          <w:color w:val="56585A"/>
          <w:sz w:val="20"/>
          <w:szCs w:val="20"/>
        </w:rPr>
        <w:br/>
      </w:r>
    </w:p>
    <w:p w:rsidR="005D5AF9" w:rsidRPr="005D5AF9" w:rsidRDefault="005D5AF9" w:rsidP="005D5AF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0"/>
          <w:szCs w:val="20"/>
        </w:rPr>
      </w:pPr>
      <w:r w:rsidRPr="005D5AF9">
        <w:rPr>
          <w:rFonts w:ascii="Arial" w:eastAsia="Times New Roman" w:hAnsi="Arial" w:cs="Arial"/>
          <w:color w:val="56585A"/>
          <w:sz w:val="20"/>
          <w:szCs w:val="20"/>
        </w:rPr>
        <w:t>В соответствии с </w:t>
      </w:r>
      <w:hyperlink r:id="rId4" w:tgtFrame="_blank" w:history="1">
        <w:r w:rsidRPr="005D5AF9">
          <w:rPr>
            <w:rFonts w:ascii="inherit" w:eastAsia="Times New Roman" w:hAnsi="inherit" w:cs="Arial"/>
            <w:b/>
            <w:bCs/>
            <w:color w:val="17607D"/>
            <w:sz w:val="20"/>
          </w:rPr>
          <w:t>Территориальной программой государственных гарантий бесплатного оказания гражданам медицинской помощи в городе Москве на 2019 год и на плановый период 2020 и 2021 годов</w:t>
        </w:r>
      </w:hyperlink>
      <w:r w:rsidRPr="005D5AF9">
        <w:rPr>
          <w:rFonts w:ascii="Arial" w:eastAsia="Times New Roman" w:hAnsi="Arial" w:cs="Arial"/>
          <w:color w:val="56585A"/>
          <w:sz w:val="20"/>
          <w:szCs w:val="20"/>
        </w:rPr>
        <w:t> устанавливаются целевые значения критериев доступности и качества медицинской помощи</w:t>
      </w:r>
      <w:proofErr w:type="gramStart"/>
      <w:r w:rsidRPr="005D5AF9">
        <w:rPr>
          <w:rFonts w:ascii="inherit" w:eastAsia="Times New Roman" w:hAnsi="inherit" w:cs="Arial"/>
          <w:color w:val="56585A"/>
          <w:sz w:val="15"/>
          <w:szCs w:val="15"/>
          <w:bdr w:val="none" w:sz="0" w:space="0" w:color="auto" w:frame="1"/>
          <w:vertAlign w:val="superscript"/>
        </w:rPr>
        <w:t>1</w:t>
      </w:r>
      <w:proofErr w:type="gramEnd"/>
      <w:r w:rsidRPr="005D5AF9">
        <w:rPr>
          <w:rFonts w:ascii="Arial" w:eastAsia="Times New Roman" w:hAnsi="Arial" w:cs="Arial"/>
          <w:color w:val="56585A"/>
          <w:sz w:val="20"/>
          <w:szCs w:val="20"/>
        </w:rPr>
        <w:t>, на основе которых комплексно оценивается уровень и динамика следующих показателей:</w:t>
      </w:r>
    </w:p>
    <w:p w:rsidR="005D5AF9" w:rsidRPr="005D5AF9" w:rsidRDefault="005D5AF9" w:rsidP="005D5AF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0"/>
          <w:szCs w:val="20"/>
        </w:rPr>
      </w:pPr>
    </w:p>
    <w:p w:rsidR="005D5AF9" w:rsidRPr="005D5AF9" w:rsidRDefault="005D5AF9" w:rsidP="005D5AF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0"/>
          <w:szCs w:val="20"/>
        </w:rPr>
      </w:pPr>
      <w:r w:rsidRPr="005D5AF9">
        <w:rPr>
          <w:rFonts w:ascii="Arial" w:eastAsia="Times New Roman" w:hAnsi="Arial" w:cs="Arial"/>
          <w:b/>
          <w:bCs/>
          <w:color w:val="56585A"/>
          <w:sz w:val="20"/>
          <w:szCs w:val="20"/>
        </w:rPr>
        <w:t>Критерии качества медицинской помощи</w:t>
      </w:r>
    </w:p>
    <w:p w:rsidR="005D5AF9" w:rsidRPr="005D5AF9" w:rsidRDefault="005D5AF9" w:rsidP="005D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50" w:type="dxa"/>
        <w:tblCellSpacing w:w="15" w:type="dxa"/>
        <w:tblBorders>
          <w:bottom w:val="single" w:sz="4" w:space="0" w:color="auto"/>
          <w:righ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2"/>
        <w:gridCol w:w="8712"/>
        <w:gridCol w:w="1477"/>
        <w:gridCol w:w="1477"/>
        <w:gridCol w:w="1492"/>
      </w:tblGrid>
      <w:tr w:rsidR="005D5AF9" w:rsidRPr="005D5AF9" w:rsidTr="005D5AF9">
        <w:trPr>
          <w:tblHeader/>
          <w:tblCellSpacing w:w="15" w:type="dxa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9FAFB"/>
            <w:tcMar>
              <w:top w:w="175" w:type="dxa"/>
              <w:left w:w="150" w:type="dxa"/>
              <w:bottom w:w="175" w:type="dxa"/>
              <w:right w:w="150" w:type="dxa"/>
            </w:tcMar>
            <w:vAlign w:val="center"/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0"/>
                <w:szCs w:val="20"/>
              </w:rPr>
            </w:pPr>
            <w:r w:rsidRPr="005D5AF9">
              <w:rPr>
                <w:rFonts w:ascii="inherit" w:eastAsia="Times New Roman" w:hAnsi="inherit" w:cs="Arial"/>
                <w:b/>
                <w:bCs/>
                <w:color w:val="56585A"/>
                <w:sz w:val="20"/>
                <w:szCs w:val="20"/>
              </w:rPr>
              <w:t>№</w:t>
            </w:r>
            <w:r w:rsidRPr="005D5AF9">
              <w:rPr>
                <w:rFonts w:ascii="inherit" w:eastAsia="Times New Roman" w:hAnsi="inherit" w:cs="Arial"/>
                <w:b/>
                <w:bCs/>
                <w:color w:val="56585A"/>
                <w:sz w:val="20"/>
                <w:szCs w:val="20"/>
              </w:rPr>
              <w:br/>
            </w:r>
            <w:proofErr w:type="spellStart"/>
            <w:proofErr w:type="gramStart"/>
            <w:r w:rsidRPr="005D5AF9">
              <w:rPr>
                <w:rFonts w:ascii="inherit" w:eastAsia="Times New Roman" w:hAnsi="inherit" w:cs="Arial"/>
                <w:b/>
                <w:bCs/>
                <w:color w:val="56585A"/>
                <w:sz w:val="20"/>
                <w:szCs w:val="20"/>
              </w:rPr>
              <w:t>п</w:t>
            </w:r>
            <w:proofErr w:type="spellEnd"/>
            <w:proofErr w:type="gramEnd"/>
            <w:r w:rsidRPr="005D5AF9">
              <w:rPr>
                <w:rFonts w:ascii="inherit" w:eastAsia="Times New Roman" w:hAnsi="inherit" w:cs="Arial"/>
                <w:b/>
                <w:bCs/>
                <w:color w:val="56585A"/>
                <w:sz w:val="20"/>
                <w:szCs w:val="20"/>
              </w:rPr>
              <w:t>/</w:t>
            </w:r>
            <w:proofErr w:type="spellStart"/>
            <w:r w:rsidRPr="005D5AF9">
              <w:rPr>
                <w:rFonts w:ascii="inherit" w:eastAsia="Times New Roman" w:hAnsi="inherit" w:cs="Arial"/>
                <w:b/>
                <w:bCs/>
                <w:color w:val="56585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9FAFB"/>
            <w:tcMar>
              <w:top w:w="175" w:type="dxa"/>
              <w:left w:w="150" w:type="dxa"/>
              <w:bottom w:w="175" w:type="dxa"/>
              <w:right w:w="150" w:type="dxa"/>
            </w:tcMar>
            <w:vAlign w:val="center"/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0"/>
                <w:szCs w:val="20"/>
              </w:rPr>
            </w:pPr>
            <w:r w:rsidRPr="005D5AF9">
              <w:rPr>
                <w:rFonts w:ascii="inherit" w:eastAsia="Times New Roman" w:hAnsi="inherit" w:cs="Arial"/>
                <w:b/>
                <w:bCs/>
                <w:color w:val="56585A"/>
                <w:sz w:val="20"/>
                <w:szCs w:val="20"/>
              </w:rPr>
              <w:t>Наименование критериев качества медицинской помощи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9FAFB"/>
            <w:tcMar>
              <w:top w:w="175" w:type="dxa"/>
              <w:left w:w="150" w:type="dxa"/>
              <w:bottom w:w="175" w:type="dxa"/>
              <w:right w:w="150" w:type="dxa"/>
            </w:tcMar>
            <w:vAlign w:val="center"/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0"/>
                <w:szCs w:val="20"/>
              </w:rPr>
            </w:pPr>
            <w:r w:rsidRPr="005D5AF9">
              <w:rPr>
                <w:rFonts w:ascii="inherit" w:eastAsia="Times New Roman" w:hAnsi="inherit" w:cs="Arial"/>
                <w:b/>
                <w:bCs/>
                <w:color w:val="56585A"/>
                <w:sz w:val="20"/>
                <w:szCs w:val="20"/>
              </w:rPr>
              <w:t>2019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9FAFB"/>
            <w:tcMar>
              <w:top w:w="175" w:type="dxa"/>
              <w:left w:w="150" w:type="dxa"/>
              <w:bottom w:w="175" w:type="dxa"/>
              <w:right w:w="150" w:type="dxa"/>
            </w:tcMar>
            <w:vAlign w:val="center"/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0"/>
                <w:szCs w:val="20"/>
              </w:rPr>
            </w:pPr>
            <w:r w:rsidRPr="005D5AF9">
              <w:rPr>
                <w:rFonts w:ascii="inherit" w:eastAsia="Times New Roman" w:hAnsi="inherit" w:cs="Arial"/>
                <w:b/>
                <w:bCs/>
                <w:color w:val="56585A"/>
                <w:sz w:val="20"/>
                <w:szCs w:val="20"/>
              </w:rPr>
              <w:t>2020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9FAFB"/>
            <w:tcMar>
              <w:top w:w="175" w:type="dxa"/>
              <w:left w:w="150" w:type="dxa"/>
              <w:bottom w:w="175" w:type="dxa"/>
              <w:right w:w="150" w:type="dxa"/>
            </w:tcMar>
            <w:vAlign w:val="center"/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0"/>
                <w:szCs w:val="20"/>
              </w:rPr>
            </w:pPr>
            <w:r w:rsidRPr="005D5AF9">
              <w:rPr>
                <w:rFonts w:ascii="inherit" w:eastAsia="Times New Roman" w:hAnsi="inherit" w:cs="Arial"/>
                <w:b/>
                <w:bCs/>
                <w:color w:val="56585A"/>
                <w:sz w:val="20"/>
                <w:szCs w:val="20"/>
              </w:rPr>
              <w:t>2021 год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5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 xml:space="preserve">Удовлетворенность населения медицинской помощью (проценты от числа </w:t>
            </w:r>
            <w:proofErr w:type="gramStart"/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опрошенных</w:t>
            </w:r>
            <w:proofErr w:type="gramEnd"/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79,0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312,5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311,0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309,6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 xml:space="preserve">Доля </w:t>
            </w:r>
            <w:proofErr w:type="gramStart"/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умерших</w:t>
            </w:r>
            <w:proofErr w:type="gramEnd"/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 xml:space="preserve"> в трудоспособном возрасте на дому в общем количестве умерших в трудоспособном возрасте (проценты)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33,0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Материнская смертность (на 100 тыс. человек, родившихся живыми)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10,4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Младенческая смертность (на 1 тыс. человек, родившихся живыми)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5,2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 xml:space="preserve">Доля </w:t>
            </w:r>
            <w:proofErr w:type="gramStart"/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умерших</w:t>
            </w:r>
            <w:proofErr w:type="gramEnd"/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 xml:space="preserve"> в возрасте до 1 года на дому в общем количестве умерших в возрасте до 1 года (проценты)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5,6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Смертность детей в возрасте 0-4 лет (на 1 тыс. родившихся живыми)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6,95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6,5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Смертность населения (число умерших на 1 тыс. человек населения)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9,88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9,86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9,84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Доля умерших в возрасте 0-4 лет на дому в общем количестве умерших в возрасте 0-4 лет (проценты)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6,4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Смертность детей в возрасте 0-17 лет (на 100 тыс. детей соответствующего возраста)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60,0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Доля умерших в возрасте 0-17 лет на дому в общем количестве умерших в возрасте 0-17 лет (проценты)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9,3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 (проценты)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3,25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3,35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 xml:space="preserve">Доля впервые выявленных заболеваний при профилактических медицинских осмотрах и диспансеризации лиц </w:t>
            </w:r>
            <w:proofErr w:type="gramStart"/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(проценты</w:t>
            </w:r>
            <w:proofErr w:type="gramEnd"/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2,45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2,50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(проценты)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61,3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61,5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61,7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(проценты)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61,3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62,3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взятыми под диспансерное наблюдение (проценты)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27,2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27,4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 xml:space="preserve">Доля лиц, инфицированных вирусом иммунодефицита человека, получающих </w:t>
            </w:r>
            <w:proofErr w:type="spellStart"/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антиретровирусную</w:t>
            </w:r>
            <w:proofErr w:type="spellEnd"/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 xml:space="preserve"> терапию, в общем количестве лиц, инфицированных вирусом </w:t>
            </w: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lastRenderedPageBreak/>
              <w:t>иммунодефицита человека (проценты)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lastRenderedPageBreak/>
              <w:t>52,6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57,0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 (проценты)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0,8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 xml:space="preserve">Доля пациентов с инфарктом миокарда, госпитализированных </w:t>
            </w:r>
            <w:proofErr w:type="gramStart"/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в первые</w:t>
            </w:r>
            <w:proofErr w:type="gramEnd"/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 xml:space="preserve"> 12 часов от начала заболевания, в общем количестве госпитализированных пациентов с инфарктом миокарда (проценты)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72,0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стентирование</w:t>
            </w:r>
            <w:proofErr w:type="spellEnd"/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 xml:space="preserve"> коронарных артерий, в общем количестве пациентов с острым инфарктом миокарда, имеющих показания к его проведению (проценты)</w:t>
            </w:r>
            <w:r w:rsidRPr="005D5AF9">
              <w:rPr>
                <w:rFonts w:ascii="inherit" w:eastAsia="Times New Roman" w:hAnsi="inherit" w:cs="Arial"/>
                <w:color w:val="56585A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81,0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 xml:space="preserve">Доля пациентов с острым и повторным инфарктом миокарда, которым выездной бригадой </w:t>
            </w:r>
            <w:proofErr w:type="gramStart"/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проведен</w:t>
            </w:r>
            <w:proofErr w:type="gramEnd"/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 xml:space="preserve"> </w:t>
            </w:r>
            <w:proofErr w:type="spellStart"/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тромболизис</w:t>
            </w:r>
            <w:proofErr w:type="spellEnd"/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(проценты)</w:t>
            </w:r>
            <w:r w:rsidRPr="005D5AF9">
              <w:rPr>
                <w:rFonts w:ascii="inherit" w:eastAsia="Times New Roman" w:hAnsi="inherit" w:cs="Arial"/>
                <w:color w:val="56585A"/>
                <w:sz w:val="15"/>
                <w:szCs w:val="15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97,0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99,0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тромболитическая</w:t>
            </w:r>
            <w:proofErr w:type="spellEnd"/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 xml:space="preserve"> терапия, в общем количестве пациентов с острым инфарктом миокарда, имеющих показания к ее проведению (проценты)</w:t>
            </w:r>
            <w:r w:rsidRPr="005D5AF9">
              <w:rPr>
                <w:rFonts w:ascii="inherit" w:eastAsia="Times New Roman" w:hAnsi="inherit" w:cs="Arial"/>
                <w:color w:val="56585A"/>
                <w:sz w:val="15"/>
                <w:szCs w:val="15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97,0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99,0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в первые</w:t>
            </w:r>
            <w:proofErr w:type="gramEnd"/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32,5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тромболитическая</w:t>
            </w:r>
            <w:proofErr w:type="spellEnd"/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в первые</w:t>
            </w:r>
            <w:proofErr w:type="gramEnd"/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 xml:space="preserve"> 6 часов от начала заболевания (проценты)</w:t>
            </w:r>
            <w:r w:rsidRPr="005D5AF9">
              <w:rPr>
                <w:rFonts w:ascii="inherit" w:eastAsia="Times New Roman" w:hAnsi="inherit" w:cs="Arial"/>
                <w:color w:val="56585A"/>
                <w:sz w:val="15"/>
                <w:szCs w:val="15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97,0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97,5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тромболитическая</w:t>
            </w:r>
            <w:proofErr w:type="spellEnd"/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5,0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(процент)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30,0</w:t>
            </w:r>
          </w:p>
        </w:tc>
      </w:tr>
    </w:tbl>
    <w:p w:rsidR="005D5AF9" w:rsidRPr="005D5AF9" w:rsidRDefault="005D5AF9" w:rsidP="005D5AF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0"/>
          <w:szCs w:val="20"/>
        </w:rPr>
      </w:pPr>
    </w:p>
    <w:p w:rsidR="005D5AF9" w:rsidRPr="005D5AF9" w:rsidRDefault="005D5AF9" w:rsidP="005D5AF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0"/>
          <w:szCs w:val="20"/>
        </w:rPr>
      </w:pPr>
      <w:r w:rsidRPr="005D5AF9">
        <w:rPr>
          <w:rFonts w:ascii="Arial" w:eastAsia="Times New Roman" w:hAnsi="Arial" w:cs="Arial"/>
          <w:b/>
          <w:bCs/>
          <w:color w:val="56585A"/>
          <w:sz w:val="20"/>
          <w:szCs w:val="20"/>
        </w:rPr>
        <w:t>Критерии доступности медицинской помощи</w:t>
      </w:r>
    </w:p>
    <w:p w:rsidR="005D5AF9" w:rsidRPr="005D5AF9" w:rsidRDefault="005D5AF9" w:rsidP="005D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50" w:type="dxa"/>
        <w:tblCellSpacing w:w="15" w:type="dxa"/>
        <w:tblBorders>
          <w:bottom w:val="single" w:sz="4" w:space="0" w:color="auto"/>
          <w:righ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2"/>
        <w:gridCol w:w="8712"/>
        <w:gridCol w:w="1477"/>
        <w:gridCol w:w="1477"/>
        <w:gridCol w:w="1492"/>
      </w:tblGrid>
      <w:tr w:rsidR="005D5AF9" w:rsidRPr="005D5AF9" w:rsidTr="005D5AF9">
        <w:trPr>
          <w:tblHeader/>
          <w:tblCellSpacing w:w="15" w:type="dxa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9FAFB"/>
            <w:tcMar>
              <w:top w:w="175" w:type="dxa"/>
              <w:left w:w="150" w:type="dxa"/>
              <w:bottom w:w="175" w:type="dxa"/>
              <w:right w:w="150" w:type="dxa"/>
            </w:tcMar>
            <w:vAlign w:val="center"/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0"/>
                <w:szCs w:val="20"/>
              </w:rPr>
            </w:pPr>
            <w:r w:rsidRPr="005D5AF9">
              <w:rPr>
                <w:rFonts w:ascii="inherit" w:eastAsia="Times New Roman" w:hAnsi="inherit" w:cs="Arial"/>
                <w:b/>
                <w:bCs/>
                <w:color w:val="56585A"/>
                <w:sz w:val="20"/>
                <w:szCs w:val="20"/>
              </w:rPr>
              <w:t>№</w:t>
            </w:r>
            <w:r w:rsidRPr="005D5AF9">
              <w:rPr>
                <w:rFonts w:ascii="inherit" w:eastAsia="Times New Roman" w:hAnsi="inherit" w:cs="Arial"/>
                <w:b/>
                <w:bCs/>
                <w:color w:val="56585A"/>
                <w:sz w:val="20"/>
                <w:szCs w:val="20"/>
              </w:rPr>
              <w:br/>
            </w:r>
            <w:proofErr w:type="spellStart"/>
            <w:proofErr w:type="gramStart"/>
            <w:r w:rsidRPr="005D5AF9">
              <w:rPr>
                <w:rFonts w:ascii="inherit" w:eastAsia="Times New Roman" w:hAnsi="inherit" w:cs="Arial"/>
                <w:b/>
                <w:bCs/>
                <w:color w:val="56585A"/>
                <w:sz w:val="20"/>
                <w:szCs w:val="20"/>
              </w:rPr>
              <w:t>п</w:t>
            </w:r>
            <w:proofErr w:type="spellEnd"/>
            <w:proofErr w:type="gramEnd"/>
            <w:r w:rsidRPr="005D5AF9">
              <w:rPr>
                <w:rFonts w:ascii="inherit" w:eastAsia="Times New Roman" w:hAnsi="inherit" w:cs="Arial"/>
                <w:b/>
                <w:bCs/>
                <w:color w:val="56585A"/>
                <w:sz w:val="20"/>
                <w:szCs w:val="20"/>
              </w:rPr>
              <w:t>/</w:t>
            </w:r>
            <w:proofErr w:type="spellStart"/>
            <w:r w:rsidRPr="005D5AF9">
              <w:rPr>
                <w:rFonts w:ascii="inherit" w:eastAsia="Times New Roman" w:hAnsi="inherit" w:cs="Arial"/>
                <w:b/>
                <w:bCs/>
                <w:color w:val="56585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9FAFB"/>
            <w:tcMar>
              <w:top w:w="175" w:type="dxa"/>
              <w:left w:w="150" w:type="dxa"/>
              <w:bottom w:w="175" w:type="dxa"/>
              <w:right w:w="150" w:type="dxa"/>
            </w:tcMar>
            <w:vAlign w:val="center"/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0"/>
                <w:szCs w:val="20"/>
              </w:rPr>
            </w:pPr>
            <w:r w:rsidRPr="005D5AF9">
              <w:rPr>
                <w:rFonts w:ascii="inherit" w:eastAsia="Times New Roman" w:hAnsi="inherit" w:cs="Arial"/>
                <w:b/>
                <w:bCs/>
                <w:color w:val="56585A"/>
                <w:sz w:val="20"/>
                <w:szCs w:val="20"/>
              </w:rPr>
              <w:t>Наименование критериев доступности медицинской помощи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9FAFB"/>
            <w:tcMar>
              <w:top w:w="175" w:type="dxa"/>
              <w:left w:w="150" w:type="dxa"/>
              <w:bottom w:w="175" w:type="dxa"/>
              <w:right w:w="150" w:type="dxa"/>
            </w:tcMar>
            <w:vAlign w:val="center"/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0"/>
                <w:szCs w:val="20"/>
              </w:rPr>
            </w:pPr>
            <w:r w:rsidRPr="005D5AF9">
              <w:rPr>
                <w:rFonts w:ascii="inherit" w:eastAsia="Times New Roman" w:hAnsi="inherit" w:cs="Arial"/>
                <w:b/>
                <w:bCs/>
                <w:color w:val="56585A"/>
                <w:sz w:val="20"/>
                <w:szCs w:val="20"/>
              </w:rPr>
              <w:t>2019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9FAFB"/>
            <w:tcMar>
              <w:top w:w="175" w:type="dxa"/>
              <w:left w:w="150" w:type="dxa"/>
              <w:bottom w:w="175" w:type="dxa"/>
              <w:right w:w="150" w:type="dxa"/>
            </w:tcMar>
            <w:vAlign w:val="center"/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0"/>
                <w:szCs w:val="20"/>
              </w:rPr>
            </w:pPr>
            <w:r w:rsidRPr="005D5AF9">
              <w:rPr>
                <w:rFonts w:ascii="inherit" w:eastAsia="Times New Roman" w:hAnsi="inherit" w:cs="Arial"/>
                <w:b/>
                <w:bCs/>
                <w:color w:val="56585A"/>
                <w:sz w:val="20"/>
                <w:szCs w:val="20"/>
              </w:rPr>
              <w:t>2020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9FAFB"/>
            <w:tcMar>
              <w:top w:w="175" w:type="dxa"/>
              <w:left w:w="150" w:type="dxa"/>
              <w:bottom w:w="175" w:type="dxa"/>
              <w:right w:w="150" w:type="dxa"/>
            </w:tcMar>
            <w:vAlign w:val="center"/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0"/>
                <w:szCs w:val="20"/>
              </w:rPr>
            </w:pPr>
            <w:r w:rsidRPr="005D5AF9">
              <w:rPr>
                <w:rFonts w:ascii="inherit" w:eastAsia="Times New Roman" w:hAnsi="inherit" w:cs="Arial"/>
                <w:b/>
                <w:bCs/>
                <w:color w:val="56585A"/>
                <w:sz w:val="20"/>
                <w:szCs w:val="20"/>
              </w:rPr>
              <w:t>2021 год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5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Обеспеченность населения врачами (на 10 тыс. человек населения)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38,7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38,6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38,5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Обеспеченность населения врачами, оказывающими медицинскую помощь в амбулаторных условиях (на 10 тыс. человек населения)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22,4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22,4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22,4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Обеспеченность населения врачами, оказывающими медицинскую помощь в стационарных условиях (на 10 тыс. человек населения)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16,1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Обеспеченность населения средним медицинским персоналом (на 10 тыс. человек населения)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58,6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59,6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Обеспеченность населения средним медицинским персоналом, оказывающим медицинскую помощь в амбулаторных условиях (на 10 тыс. человек населения)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25,5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25,7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Обеспеченность населения средним медицинским персоналом, оказывающим медицинскую помощь в стационарных условиях (на 10 тыс. человек населения)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33,6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33,9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Доля расходов на оказание медицинской помощи в условиях дневных стационаров в общих расходах на реализацию Территориальной программы (проценты)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4,6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 xml:space="preserve">Доля расходов </w:t>
            </w:r>
            <w:proofErr w:type="gramStart"/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на оказание медицинской помощи в амбулаторных условиях в неотложной форме в общих расходах на реализацию</w:t>
            </w:r>
            <w:proofErr w:type="gramEnd"/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 xml:space="preserve"> Территориальной программы (проценты)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1,5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Доля охвата диспансеризацией взрослого населения, подлежащего диспансеризации (проценты)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63,0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 (проценты)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21,0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Доля охвата профилактическими медицинскими осмотрами детей, подлежащих профилактическим медицинским осмотрам (проценты)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98,8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6,1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(проценты)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50,0</w:t>
            </w:r>
          </w:p>
        </w:tc>
      </w:tr>
      <w:tr w:rsidR="005D5AF9" w:rsidRPr="005D5AF9" w:rsidTr="005D5A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Доля женщин, которым проведено экстракорпоральное оплодотворение, в общем количестве женщин с бесплодием (проценты)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74,5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75,5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5AF9" w:rsidRPr="005D5AF9" w:rsidRDefault="005D5AF9" w:rsidP="005D5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0"/>
                <w:szCs w:val="20"/>
              </w:rPr>
            </w:pPr>
            <w:r w:rsidRPr="005D5AF9">
              <w:rPr>
                <w:rFonts w:ascii="Arial" w:eastAsia="Times New Roman" w:hAnsi="Arial" w:cs="Arial"/>
                <w:color w:val="56585A"/>
                <w:sz w:val="20"/>
                <w:szCs w:val="20"/>
              </w:rPr>
              <w:t>75,8</w:t>
            </w:r>
          </w:p>
        </w:tc>
      </w:tr>
    </w:tbl>
    <w:p w:rsidR="005D5AF9" w:rsidRPr="005D5AF9" w:rsidRDefault="005D5AF9" w:rsidP="005D5AF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0"/>
          <w:szCs w:val="20"/>
        </w:rPr>
      </w:pPr>
    </w:p>
    <w:p w:rsidR="005D5AF9" w:rsidRPr="005D5AF9" w:rsidRDefault="005D5AF9" w:rsidP="005D5AF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0"/>
          <w:szCs w:val="20"/>
        </w:rPr>
      </w:pPr>
      <w:r w:rsidRPr="005D5AF9">
        <w:rPr>
          <w:rFonts w:ascii="inherit" w:eastAsia="Times New Roman" w:hAnsi="inherit" w:cs="Arial"/>
          <w:color w:val="56585A"/>
          <w:sz w:val="15"/>
          <w:szCs w:val="15"/>
          <w:bdr w:val="none" w:sz="0" w:space="0" w:color="auto" w:frame="1"/>
          <w:vertAlign w:val="superscript"/>
        </w:rPr>
        <w:t>1</w:t>
      </w:r>
      <w:r w:rsidRPr="005D5AF9">
        <w:rPr>
          <w:rFonts w:ascii="Arial" w:eastAsia="Times New Roman" w:hAnsi="Arial" w:cs="Arial"/>
          <w:color w:val="56585A"/>
          <w:sz w:val="20"/>
          <w:szCs w:val="20"/>
        </w:rPr>
        <w:t> 3начения критериев смертности населения рассчитываются с учетом общего числа умерших на территории города Москвы, в том числе жителей иных субъектов Российской Федерации, иностранных граждан и лиц без гражданства, умерших во всех медицинских организациях (в том числе в федеральных медицинских организациях и медицинских организациях частной системы здравоохранения).</w:t>
      </w:r>
    </w:p>
    <w:p w:rsidR="005D5AF9" w:rsidRPr="005D5AF9" w:rsidRDefault="005D5AF9" w:rsidP="005D5AF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0"/>
          <w:szCs w:val="20"/>
        </w:rPr>
      </w:pPr>
    </w:p>
    <w:p w:rsidR="005D5AF9" w:rsidRPr="005D5AF9" w:rsidRDefault="005D5AF9" w:rsidP="005D5AF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0"/>
          <w:szCs w:val="20"/>
        </w:rPr>
      </w:pPr>
      <w:r w:rsidRPr="005D5AF9">
        <w:rPr>
          <w:rFonts w:ascii="inherit" w:eastAsia="Times New Roman" w:hAnsi="inherit" w:cs="Arial"/>
          <w:color w:val="56585A"/>
          <w:sz w:val="15"/>
          <w:szCs w:val="15"/>
          <w:bdr w:val="none" w:sz="0" w:space="0" w:color="auto" w:frame="1"/>
          <w:vertAlign w:val="superscript"/>
        </w:rPr>
        <w:t>2</w:t>
      </w:r>
      <w:proofErr w:type="gramStart"/>
      <w:r w:rsidRPr="005D5AF9">
        <w:rPr>
          <w:rFonts w:ascii="Arial" w:eastAsia="Times New Roman" w:hAnsi="Arial" w:cs="Arial"/>
          <w:color w:val="56585A"/>
          <w:sz w:val="20"/>
          <w:szCs w:val="20"/>
        </w:rPr>
        <w:t> В</w:t>
      </w:r>
      <w:proofErr w:type="gramEnd"/>
      <w:r w:rsidRPr="005D5AF9">
        <w:rPr>
          <w:rFonts w:ascii="Arial" w:eastAsia="Times New Roman" w:hAnsi="Arial" w:cs="Arial"/>
          <w:color w:val="56585A"/>
          <w:sz w:val="20"/>
          <w:szCs w:val="20"/>
        </w:rPr>
        <w:t xml:space="preserve"> остальных случаях к выполнению медицинского вмешательства имеются медицинские противопоказания в связи с наличием сопутствующих заболеваний, отказ пациента от медицинского вмешательства или применяются иные методы лечения.</w:t>
      </w:r>
    </w:p>
    <w:p w:rsidR="005D5AF9" w:rsidRPr="005D5AF9" w:rsidRDefault="005D5AF9" w:rsidP="005D5AF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0"/>
          <w:szCs w:val="20"/>
        </w:rPr>
      </w:pPr>
    </w:p>
    <w:p w:rsidR="005D5AF9" w:rsidRPr="005D5AF9" w:rsidRDefault="005D5AF9" w:rsidP="005D5AF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0"/>
          <w:szCs w:val="20"/>
        </w:rPr>
      </w:pPr>
      <w:r w:rsidRPr="005D5AF9">
        <w:rPr>
          <w:rFonts w:ascii="inherit" w:eastAsia="Times New Roman" w:hAnsi="inherit" w:cs="Arial"/>
          <w:color w:val="56585A"/>
          <w:sz w:val="15"/>
          <w:szCs w:val="15"/>
          <w:bdr w:val="none" w:sz="0" w:space="0" w:color="auto" w:frame="1"/>
          <w:vertAlign w:val="superscript"/>
        </w:rPr>
        <w:t>3</w:t>
      </w:r>
      <w:proofErr w:type="gramStart"/>
      <w:r w:rsidRPr="005D5AF9">
        <w:rPr>
          <w:rFonts w:ascii="Arial" w:eastAsia="Times New Roman" w:hAnsi="Arial" w:cs="Arial"/>
          <w:color w:val="56585A"/>
          <w:sz w:val="20"/>
          <w:szCs w:val="20"/>
        </w:rPr>
        <w:t> В</w:t>
      </w:r>
      <w:proofErr w:type="gramEnd"/>
      <w:r w:rsidRPr="005D5AF9">
        <w:rPr>
          <w:rFonts w:ascii="Arial" w:eastAsia="Times New Roman" w:hAnsi="Arial" w:cs="Arial"/>
          <w:color w:val="56585A"/>
          <w:sz w:val="20"/>
          <w:szCs w:val="20"/>
        </w:rPr>
        <w:t xml:space="preserve">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</w:t>
      </w:r>
    </w:p>
    <w:p w:rsidR="0095651C" w:rsidRDefault="0095651C"/>
    <w:sectPr w:rsidR="0095651C" w:rsidSect="005D5A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5AF9"/>
    <w:rsid w:val="005D5AF9"/>
    <w:rsid w:val="0095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A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enttext">
    <w:name w:val="content_text"/>
    <w:basedOn w:val="a"/>
    <w:rsid w:val="005D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D5A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er">
    <w:name w:val="content_header"/>
    <w:basedOn w:val="a"/>
    <w:rsid w:val="005D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gp140.mos.ru/docs/17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1251</Words>
  <Characters>7133</Characters>
  <Application>Microsoft Office Word</Application>
  <DocSecurity>0</DocSecurity>
  <Lines>59</Lines>
  <Paragraphs>16</Paragraphs>
  <ScaleCrop>false</ScaleCrop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2019-10-21T09:41:00Z</dcterms:created>
  <dcterms:modified xsi:type="dcterms:W3CDTF">2019-10-21T09:42:00Z</dcterms:modified>
</cp:coreProperties>
</file>